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6952B85B" w:rsidR="00802852" w:rsidRPr="00D544FA" w:rsidRDefault="00F60F7B" w:rsidP="0072610D">
      <w:pPr>
        <w:rPr>
          <w:rFonts w:ascii="Arial" w:hAnsi="Arial" w:cs="Arial"/>
          <w:b/>
          <w:bCs/>
          <w:sz w:val="20"/>
        </w:rPr>
      </w:pPr>
      <w:r w:rsidRPr="00D544FA">
        <w:rPr>
          <w:rFonts w:ascii="Arial" w:hAnsi="Arial" w:cs="Arial"/>
          <w:b/>
          <w:bCs/>
          <w:noProof/>
          <w:sz w:val="20"/>
        </w:rPr>
        <mc:AlternateContent>
          <mc:Choice Requires="wps">
            <w:drawing>
              <wp:anchor distT="0" distB="0" distL="114300" distR="114300" simplePos="0" relativeHeight="251659264" behindDoc="0" locked="0" layoutInCell="1" allowOverlap="1" wp14:anchorId="257776FE" wp14:editId="4A6730FC">
                <wp:simplePos x="0" y="0"/>
                <wp:positionH relativeFrom="margin">
                  <wp:posOffset>2066925</wp:posOffset>
                </wp:positionH>
                <wp:positionV relativeFrom="paragraph">
                  <wp:posOffset>8890</wp:posOffset>
                </wp:positionV>
                <wp:extent cx="2238375" cy="647700"/>
                <wp:effectExtent l="0" t="0" r="9525" b="0"/>
                <wp:wrapNone/>
                <wp:docPr id="582849025" name="Text Box 1"/>
                <wp:cNvGraphicFramePr/>
                <a:graphic xmlns:a="http://schemas.openxmlformats.org/drawingml/2006/main">
                  <a:graphicData uri="http://schemas.microsoft.com/office/word/2010/wordprocessingShape">
                    <wps:wsp>
                      <wps:cNvSpPr txBox="1"/>
                      <wps:spPr>
                        <a:xfrm>
                          <a:off x="0" y="0"/>
                          <a:ext cx="2238375" cy="647700"/>
                        </a:xfrm>
                        <a:prstGeom prst="rect">
                          <a:avLst/>
                        </a:prstGeom>
                        <a:solidFill>
                          <a:schemeClr val="lt1"/>
                        </a:solidFill>
                        <a:ln w="6350">
                          <a:noFill/>
                        </a:ln>
                      </wps:spPr>
                      <wps:txbx>
                        <w:txbxContent>
                          <w:p w14:paraId="2187F15E" w14:textId="1BECFAAC" w:rsidR="00F60F7B" w:rsidRPr="00D544FA" w:rsidRDefault="00511DB0" w:rsidP="00D544FA">
                            <w:pPr>
                              <w:jc w:val="center"/>
                              <w:rPr>
                                <w:rFonts w:ascii="Arial" w:hAnsi="Arial" w:cs="Arial"/>
                                <w:sz w:val="18"/>
                                <w:szCs w:val="18"/>
                              </w:rPr>
                            </w:pPr>
                            <w:r w:rsidRPr="00D544FA">
                              <w:rPr>
                                <w:rFonts w:ascii="Arial" w:hAnsi="Arial" w:cs="Arial"/>
                                <w:sz w:val="18"/>
                                <w:szCs w:val="18"/>
                              </w:rPr>
                              <w:t>MA State Public Health Laboratory</w:t>
                            </w:r>
                          </w:p>
                          <w:p w14:paraId="15E38C9F" w14:textId="17A89536" w:rsidR="00511DB0" w:rsidRPr="00D544FA" w:rsidRDefault="00511DB0" w:rsidP="00D544FA">
                            <w:pPr>
                              <w:jc w:val="center"/>
                              <w:rPr>
                                <w:rFonts w:ascii="Arial" w:hAnsi="Arial" w:cs="Arial"/>
                                <w:sz w:val="18"/>
                                <w:szCs w:val="18"/>
                              </w:rPr>
                            </w:pPr>
                            <w:r w:rsidRPr="00D544FA">
                              <w:rPr>
                                <w:rFonts w:ascii="Arial" w:hAnsi="Arial" w:cs="Arial"/>
                                <w:sz w:val="18"/>
                                <w:szCs w:val="18"/>
                              </w:rPr>
                              <w:t>Tel: (617) 983-6201</w:t>
                            </w:r>
                          </w:p>
                          <w:p w14:paraId="3C05B77E" w14:textId="61A863DC" w:rsidR="00511DB0" w:rsidRPr="00D544FA" w:rsidRDefault="00D544FA" w:rsidP="00D544FA">
                            <w:pPr>
                              <w:jc w:val="center"/>
                              <w:rPr>
                                <w:rFonts w:ascii="Arial" w:hAnsi="Arial" w:cs="Arial"/>
                                <w:sz w:val="18"/>
                                <w:szCs w:val="18"/>
                              </w:rPr>
                            </w:pPr>
                            <w:hyperlink r:id="rId11" w:history="1">
                              <w:r w:rsidRPr="00433BC3">
                                <w:rPr>
                                  <w:rStyle w:val="Hyperlink"/>
                                  <w:rFonts w:ascii="Arial" w:hAnsi="Arial" w:cs="Arial"/>
                                  <w:sz w:val="18"/>
                                  <w:szCs w:val="18"/>
                                </w:rPr>
                                <w:t>www.mass.gov/state-public-health-laboratory-sciences</w:t>
                              </w:r>
                            </w:hyperlink>
                            <w:r>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776FE" id="_x0000_t202" coordsize="21600,21600" o:spt="202" path="m,l,21600r21600,l21600,xe">
                <v:stroke joinstyle="miter"/>
                <v:path gradientshapeok="t" o:connecttype="rect"/>
              </v:shapetype>
              <v:shape id="Text Box 1" o:spid="_x0000_s1026" type="#_x0000_t202" style="position:absolute;margin-left:162.75pt;margin-top:.7pt;width:176.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3CLQIAAFQEAAAOAAAAZHJzL2Uyb0RvYy54bWysVEtv2zAMvg/YfxB0X+y8ms6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" fillcolor="white [3201]" stroked="f" strokeweight=".5pt">
                <v:textbox>
                  <w:txbxContent>
                    <w:p w14:paraId="2187F15E" w14:textId="1BECFAAC" w:rsidR="00F60F7B" w:rsidRPr="00D544FA" w:rsidRDefault="00511DB0" w:rsidP="00D544FA">
                      <w:pPr>
                        <w:jc w:val="center"/>
                        <w:rPr>
                          <w:rFonts w:ascii="Arial" w:hAnsi="Arial" w:cs="Arial"/>
                          <w:sz w:val="18"/>
                          <w:szCs w:val="18"/>
                        </w:rPr>
                      </w:pPr>
                      <w:r w:rsidRPr="00D544FA">
                        <w:rPr>
                          <w:rFonts w:ascii="Arial" w:hAnsi="Arial" w:cs="Arial"/>
                          <w:sz w:val="18"/>
                          <w:szCs w:val="18"/>
                        </w:rPr>
                        <w:t>MA State Public Health Laboratory</w:t>
                      </w:r>
                    </w:p>
                    <w:p w14:paraId="15E38C9F" w14:textId="17A89536" w:rsidR="00511DB0" w:rsidRPr="00D544FA" w:rsidRDefault="00511DB0" w:rsidP="00D544FA">
                      <w:pPr>
                        <w:jc w:val="center"/>
                        <w:rPr>
                          <w:rFonts w:ascii="Arial" w:hAnsi="Arial" w:cs="Arial"/>
                          <w:sz w:val="18"/>
                          <w:szCs w:val="18"/>
                        </w:rPr>
                      </w:pPr>
                      <w:r w:rsidRPr="00D544FA">
                        <w:rPr>
                          <w:rFonts w:ascii="Arial" w:hAnsi="Arial" w:cs="Arial"/>
                          <w:sz w:val="18"/>
                          <w:szCs w:val="18"/>
                        </w:rPr>
                        <w:t>Tel: (617) 983-6201</w:t>
                      </w:r>
                    </w:p>
                    <w:p w14:paraId="3C05B77E" w14:textId="61A863DC" w:rsidR="00511DB0" w:rsidRPr="00D544FA" w:rsidRDefault="00D544FA" w:rsidP="00D544FA">
                      <w:pPr>
                        <w:jc w:val="center"/>
                        <w:rPr>
                          <w:rFonts w:ascii="Arial" w:hAnsi="Arial" w:cs="Arial"/>
                          <w:sz w:val="18"/>
                          <w:szCs w:val="18"/>
                        </w:rPr>
                      </w:pPr>
                      <w:hyperlink r:id="rId12" w:history="1">
                        <w:r w:rsidRPr="00433BC3">
                          <w:rPr>
                            <w:rStyle w:val="Hyperlink"/>
                            <w:rFonts w:ascii="Arial" w:hAnsi="Arial" w:cs="Arial"/>
                            <w:sz w:val="18"/>
                            <w:szCs w:val="18"/>
                          </w:rPr>
                          <w:t>www.mass.gov/state-public-health-laboratory-sciences</w:t>
                        </w:r>
                      </w:hyperlink>
                      <w:r>
                        <w:rPr>
                          <w:rFonts w:ascii="Arial" w:hAnsi="Arial" w:cs="Arial"/>
                          <w:sz w:val="18"/>
                          <w:szCs w:val="18"/>
                        </w:rPr>
                        <w:t xml:space="preserve"> </w:t>
                      </w:r>
                    </w:p>
                  </w:txbxContent>
                </v:textbox>
                <w10:wrap anchorx="margin"/>
              </v:shape>
            </w:pict>
          </mc:Fallback>
        </mc:AlternateContent>
      </w:r>
      <w:r w:rsidR="00E814A1"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77777777" w:rsidR="007D1D51" w:rsidRPr="00D544FA" w:rsidRDefault="00802852" w:rsidP="00D17C27">
      <w:pPr>
        <w:jc w:val="right"/>
        <w:rPr>
          <w:rFonts w:ascii="Arial" w:hAnsi="Arial" w:cs="Arial"/>
          <w:sz w:val="20"/>
        </w:rPr>
      </w:pPr>
      <w:r w:rsidRPr="00D544FA">
        <w:rPr>
          <w:rFonts w:ascii="Arial" w:hAnsi="Arial" w:cs="Arial"/>
          <w:b/>
          <w:bCs/>
          <w:sz w:val="20"/>
        </w:rPr>
        <w:t>Kiame Mahaniah, MD</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76751140" w14:textId="77777777" w:rsidR="00D10DDE" w:rsidRDefault="00D10DDE" w:rsidP="0072610D"/>
    <w:p w14:paraId="216F7844" w14:textId="77777777" w:rsidR="00FC42CB" w:rsidRPr="00FC42CB" w:rsidRDefault="00FC42CB" w:rsidP="00FC42CB">
      <w:pPr>
        <w:jc w:val="center"/>
        <w:rPr>
          <w:rFonts w:asciiTheme="minorHAnsi" w:hAnsiTheme="minorHAnsi" w:cstheme="minorHAnsi"/>
          <w:b/>
          <w:bCs/>
        </w:rPr>
      </w:pPr>
      <w:r w:rsidRPr="00FC42CB">
        <w:rPr>
          <w:rFonts w:asciiTheme="minorHAnsi" w:hAnsiTheme="minorHAnsi" w:cstheme="minorHAnsi"/>
          <w:b/>
          <w:bCs/>
        </w:rPr>
        <w:t xml:space="preserve">Single Dose </w:t>
      </w:r>
      <w:proofErr w:type="spellStart"/>
      <w:r w:rsidRPr="00FC42CB">
        <w:rPr>
          <w:rFonts w:asciiTheme="minorHAnsi" w:hAnsiTheme="minorHAnsi" w:cstheme="minorHAnsi"/>
          <w:b/>
          <w:bCs/>
        </w:rPr>
        <w:t>Doxycyline</w:t>
      </w:r>
      <w:proofErr w:type="spellEnd"/>
      <w:r w:rsidRPr="00FC42CB">
        <w:rPr>
          <w:rFonts w:asciiTheme="minorHAnsi" w:hAnsiTheme="minorHAnsi" w:cstheme="minorHAnsi"/>
          <w:b/>
          <w:bCs/>
        </w:rPr>
        <w:t xml:space="preserve"> as Postexposure Prophylaxis for Lyme Disease</w:t>
      </w:r>
    </w:p>
    <w:p w14:paraId="4C659A99" w14:textId="0C00ED7B" w:rsidR="00FC42CB" w:rsidRPr="00FC42CB" w:rsidRDefault="00FC42CB" w:rsidP="00FC42CB">
      <w:pPr>
        <w:jc w:val="center"/>
        <w:rPr>
          <w:rFonts w:asciiTheme="minorHAnsi" w:hAnsiTheme="minorHAnsi" w:cstheme="minorHAnsi"/>
        </w:rPr>
      </w:pPr>
      <w:r w:rsidRPr="00FC42CB">
        <w:rPr>
          <w:rFonts w:asciiTheme="minorHAnsi" w:hAnsiTheme="minorHAnsi" w:cstheme="minorHAnsi"/>
        </w:rPr>
        <w:t>July 1</w:t>
      </w:r>
      <w:r>
        <w:rPr>
          <w:rFonts w:asciiTheme="minorHAnsi" w:hAnsiTheme="minorHAnsi" w:cstheme="minorHAnsi"/>
        </w:rPr>
        <w:t>4</w:t>
      </w:r>
      <w:r w:rsidRPr="00FC42CB">
        <w:rPr>
          <w:rFonts w:asciiTheme="minorHAnsi" w:hAnsiTheme="minorHAnsi" w:cstheme="minorHAnsi"/>
        </w:rPr>
        <w:t>, 2025</w:t>
      </w:r>
    </w:p>
    <w:p w14:paraId="70E8CDE0" w14:textId="77777777" w:rsidR="00FC42CB" w:rsidRPr="00FC42CB" w:rsidRDefault="00FC42CB" w:rsidP="00FC42CB">
      <w:pPr>
        <w:jc w:val="center"/>
        <w:rPr>
          <w:rFonts w:asciiTheme="minorHAnsi" w:hAnsiTheme="minorHAnsi" w:cstheme="minorHAnsi"/>
        </w:rPr>
      </w:pPr>
    </w:p>
    <w:p w14:paraId="2E2EF29A" w14:textId="77777777" w:rsidR="00FC42CB" w:rsidRPr="00FC42CB" w:rsidRDefault="00FC42CB" w:rsidP="00FC42CB">
      <w:pPr>
        <w:pBdr>
          <w:top w:val="single" w:sz="8" w:space="4" w:color="000000"/>
          <w:left w:val="single" w:sz="8" w:space="4" w:color="000000"/>
          <w:bottom w:val="single" w:sz="8" w:space="4" w:color="000000"/>
          <w:right w:val="single" w:sz="8" w:space="4" w:color="000000"/>
        </w:pBdr>
        <w:spacing w:after="160" w:line="278" w:lineRule="auto"/>
        <w:ind w:left="360"/>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For patients with a bite by an </w:t>
      </w:r>
      <w:r w:rsidRPr="00FC42CB">
        <w:rPr>
          <w:rFonts w:asciiTheme="minorHAnsi" w:eastAsia="Aptos" w:hAnsiTheme="minorHAnsi" w:cstheme="minorHAnsi"/>
          <w:i/>
          <w:iCs/>
          <w:kern w:val="2"/>
          <w:szCs w:val="24"/>
          <w14:ligatures w14:val="standardContextual"/>
        </w:rPr>
        <w:t>Ixodes</w:t>
      </w:r>
      <w:r w:rsidRPr="00FC42CB">
        <w:rPr>
          <w:rFonts w:asciiTheme="minorHAnsi" w:eastAsia="Aptos" w:hAnsiTheme="minorHAnsi" w:cstheme="minorHAnsi"/>
          <w:kern w:val="2"/>
          <w:szCs w:val="24"/>
          <w14:ligatures w14:val="standardContextual"/>
        </w:rPr>
        <w:t xml:space="preserve"> tick in an endemic area for </w:t>
      </w:r>
      <w:r w:rsidRPr="00FC42CB">
        <w:rPr>
          <w:rFonts w:asciiTheme="minorHAnsi" w:eastAsia="Aptos" w:hAnsiTheme="minorHAnsi" w:cstheme="minorHAnsi"/>
          <w:i/>
          <w:iCs/>
          <w:kern w:val="2"/>
          <w:szCs w:val="24"/>
          <w14:ligatures w14:val="standardContextual"/>
        </w:rPr>
        <w:t>Borrelia burgdorferi</w:t>
      </w:r>
      <w:r w:rsidRPr="00FC42CB">
        <w:rPr>
          <w:rFonts w:asciiTheme="minorHAnsi" w:eastAsia="Aptos" w:hAnsiTheme="minorHAnsi" w:cstheme="minorHAnsi"/>
          <w:kern w:val="2"/>
          <w:szCs w:val="24"/>
          <w14:ligatures w14:val="standardContextual"/>
        </w:rPr>
        <w:t xml:space="preserve"> (all of Massachusetts) AND attached for more than 36 hours, consider:</w:t>
      </w:r>
    </w:p>
    <w:p w14:paraId="5A1DCAE5" w14:textId="77777777" w:rsidR="00FC42CB" w:rsidRPr="00FC42CB" w:rsidRDefault="00FC42CB" w:rsidP="00FC42CB">
      <w:pPr>
        <w:numPr>
          <w:ilvl w:val="0"/>
          <w:numId w:val="1"/>
        </w:numPr>
        <w:pBdr>
          <w:top w:val="single" w:sz="8" w:space="4" w:color="000000"/>
          <w:left w:val="single" w:sz="8" w:space="4" w:color="000000"/>
          <w:bottom w:val="single" w:sz="8" w:space="4" w:color="000000"/>
          <w:right w:val="single" w:sz="8" w:space="4" w:color="000000"/>
        </w:pBd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Doxycycline 200 mg </w:t>
      </w:r>
      <w:r w:rsidRPr="00FC42CB">
        <w:rPr>
          <w:rFonts w:asciiTheme="minorHAnsi" w:eastAsia="Aptos" w:hAnsiTheme="minorHAnsi" w:cstheme="minorHAnsi"/>
          <w:b/>
          <w:bCs/>
          <w:kern w:val="2"/>
          <w:szCs w:val="24"/>
          <w14:ligatures w14:val="standardContextual"/>
        </w:rPr>
        <w:t xml:space="preserve">single dose </w:t>
      </w:r>
      <w:r w:rsidRPr="00FC42CB">
        <w:rPr>
          <w:rFonts w:asciiTheme="minorHAnsi" w:eastAsia="Aptos" w:hAnsiTheme="minorHAnsi" w:cstheme="minorHAnsi"/>
          <w:kern w:val="2"/>
          <w:szCs w:val="24"/>
          <w14:ligatures w14:val="standardContextual"/>
        </w:rPr>
        <w:t xml:space="preserve">(adult; children 4 mg/kg not to exceed 200 mg) given with food </w:t>
      </w:r>
    </w:p>
    <w:p w14:paraId="43FDA1EF" w14:textId="77777777" w:rsidR="00FC42CB" w:rsidRPr="00FC42CB" w:rsidRDefault="00FC42CB" w:rsidP="00FC42CB">
      <w:pPr>
        <w:numPr>
          <w:ilvl w:val="0"/>
          <w:numId w:val="1"/>
        </w:numPr>
        <w:pBdr>
          <w:top w:val="single" w:sz="8" w:space="4" w:color="000000"/>
          <w:left w:val="single" w:sz="8" w:space="4" w:color="000000"/>
          <w:bottom w:val="single" w:sz="8" w:space="4" w:color="000000"/>
          <w:right w:val="single" w:sz="8" w:space="4" w:color="000000"/>
        </w:pBd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Counsel regarding tick-borne diseases including Lyme (prophylaxis not always effective), anaplasmosis, babesiosis, borreliosis (relapsing fever) and Powassan.</w:t>
      </w:r>
    </w:p>
    <w:p w14:paraId="743A397E" w14:textId="77777777" w:rsidR="00FC42CB" w:rsidRPr="00FC42CB" w:rsidRDefault="00FC42CB" w:rsidP="00FC42CB">
      <w:pPr>
        <w:numPr>
          <w:ilvl w:val="0"/>
          <w:numId w:val="1"/>
        </w:numPr>
        <w:pBdr>
          <w:top w:val="single" w:sz="8" w:space="4" w:color="000000"/>
          <w:left w:val="single" w:sz="8" w:space="4" w:color="000000"/>
          <w:bottom w:val="single" w:sz="8" w:space="4" w:color="000000"/>
          <w:right w:val="single" w:sz="8" w:space="4" w:color="000000"/>
        </w:pBd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Counsel on tick exposure prevention (EPA-approved repellants including permethrin, clothing and tick checks with prompt removal of attached ticks)</w:t>
      </w:r>
    </w:p>
    <w:p w14:paraId="78BC97A6" w14:textId="77777777" w:rsidR="00FC42CB" w:rsidRPr="00FC42CB" w:rsidRDefault="00FC42CB" w:rsidP="00FC42CB">
      <w:pPr>
        <w:spacing w:after="160"/>
        <w:rPr>
          <w:rFonts w:asciiTheme="minorHAnsi" w:eastAsia="Aptos" w:hAnsiTheme="minorHAnsi" w:cstheme="minorHAnsi"/>
          <w:kern w:val="2"/>
          <w:szCs w:val="24"/>
          <w14:ligatures w14:val="standardContextual"/>
        </w:rPr>
      </w:pPr>
    </w:p>
    <w:p w14:paraId="7612A553" w14:textId="77777777" w:rsidR="00FC42CB" w:rsidRPr="00FC42CB" w:rsidRDefault="00FC42CB" w:rsidP="00FC42CB">
      <w:p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Lyme disease, carried by </w:t>
      </w:r>
      <w:r w:rsidRPr="00FC42CB">
        <w:rPr>
          <w:rFonts w:asciiTheme="minorHAnsi" w:eastAsia="Aptos" w:hAnsiTheme="minorHAnsi" w:cstheme="minorHAnsi"/>
          <w:i/>
          <w:iCs/>
          <w:kern w:val="2"/>
          <w:szCs w:val="24"/>
          <w14:ligatures w14:val="standardContextual"/>
        </w:rPr>
        <w:t>Ixodes scapularis</w:t>
      </w:r>
      <w:r w:rsidRPr="00FC42CB">
        <w:rPr>
          <w:rFonts w:asciiTheme="minorHAnsi" w:eastAsia="Aptos" w:hAnsiTheme="minorHAnsi" w:cstheme="minorHAnsi"/>
          <w:kern w:val="2"/>
          <w:szCs w:val="24"/>
          <w14:ligatures w14:val="standardContextual"/>
        </w:rPr>
        <w:t xml:space="preserve"> (the black-legged tick, also called the deer tick) has been endemic across Massachusetts for at least the last 20 years. While surveillance case definitions have changed over time, data from Massachusetts between 2005 and 2024 has shown a clear increase of 350% (from 2,467 confirmed and probable cases in 2005 to 8,835 confirmed and probable cases in 2024). It is important to note that because the diagnosis of Lyme disease is primarily clinical and does not rely entirely on laboratory testing that surveillance data is useful for tracking trends only; the actual number of Lyme disease cases diagnosed each year is much greater than is captured in surveillance data.</w:t>
      </w:r>
    </w:p>
    <w:p w14:paraId="445D6241" w14:textId="406B66BC" w:rsidR="00FC42CB" w:rsidRPr="00FC42CB" w:rsidRDefault="00FC42CB" w:rsidP="00FC42CB">
      <w:p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This year, data from emergency departments (EDs) across Massachusetts show that visits involving patients reporting exposure to ticks is higher than it has been at any point in the last three years (</w:t>
      </w:r>
      <w:hyperlink r:id="rId13" w:history="1">
        <w:r w:rsidR="001D5F9D">
          <w:rPr>
            <w:rFonts w:asciiTheme="minorHAnsi" w:eastAsia="Aptos" w:hAnsiTheme="minorHAnsi" w:cstheme="minorHAnsi"/>
            <w:color w:val="0000FF"/>
            <w:kern w:val="2"/>
            <w:szCs w:val="24"/>
            <w:u w:val="single"/>
            <w14:ligatures w14:val="standardContextual"/>
          </w:rPr>
          <w:t>https://www.mass.gov/doc/tick-exposure-and-tickborne-disease-syndromic-surveillance-report-june-2025-0/download</w:t>
        </w:r>
      </w:hyperlink>
      <w:r w:rsidRPr="00FC42CB">
        <w:rPr>
          <w:rFonts w:asciiTheme="minorHAnsi" w:eastAsia="Aptos" w:hAnsiTheme="minorHAnsi" w:cstheme="minorHAnsi"/>
          <w:kern w:val="2"/>
          <w:szCs w:val="24"/>
          <w14:ligatures w14:val="standardContextual"/>
        </w:rPr>
        <w:t xml:space="preserve">). Diagnoses of a tick-borne disease associated with these visits are also higher than at the same time during the last three years. </w:t>
      </w:r>
    </w:p>
    <w:p w14:paraId="4D8F3041" w14:textId="77777777" w:rsidR="00FC42CB" w:rsidRPr="00FC42CB" w:rsidRDefault="00FC42CB" w:rsidP="00FC42CB">
      <w:p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A study</w:t>
      </w:r>
      <w:r w:rsidRPr="00FC42CB">
        <w:rPr>
          <w:rFonts w:asciiTheme="minorHAnsi" w:eastAsia="Aptos" w:hAnsiTheme="minorHAnsi" w:cstheme="minorHAnsi"/>
          <w:kern w:val="2"/>
          <w:szCs w:val="24"/>
          <w:vertAlign w:val="superscript"/>
          <w14:ligatures w14:val="standardContextual"/>
        </w:rPr>
        <w:footnoteReference w:id="1"/>
      </w:r>
      <w:r w:rsidRPr="00FC42CB">
        <w:rPr>
          <w:rFonts w:asciiTheme="minorHAnsi" w:eastAsia="Aptos" w:hAnsiTheme="minorHAnsi" w:cstheme="minorHAnsi"/>
          <w:kern w:val="2"/>
          <w:szCs w:val="24"/>
          <w14:ligatures w14:val="standardContextual"/>
        </w:rPr>
        <w:t xml:space="preserve"> published in 2001 first demonstrated that a single dose of 200 mg doxycycline given within 72 hours after an </w:t>
      </w:r>
      <w:r w:rsidRPr="00FC42CB">
        <w:rPr>
          <w:rFonts w:asciiTheme="minorHAnsi" w:eastAsia="Aptos" w:hAnsiTheme="minorHAnsi" w:cstheme="minorHAnsi"/>
          <w:i/>
          <w:iCs/>
          <w:kern w:val="2"/>
          <w:szCs w:val="24"/>
          <w14:ligatures w14:val="standardContextual"/>
        </w:rPr>
        <w:t xml:space="preserve">Ix. scapularis </w:t>
      </w:r>
      <w:r w:rsidRPr="00FC42CB">
        <w:rPr>
          <w:rFonts w:asciiTheme="minorHAnsi" w:eastAsia="Aptos" w:hAnsiTheme="minorHAnsi" w:cstheme="minorHAnsi"/>
          <w:kern w:val="2"/>
          <w:szCs w:val="24"/>
          <w14:ligatures w14:val="standardContextual"/>
        </w:rPr>
        <w:t xml:space="preserve">tick bite results in an 87% reduction in development of an erythema </w:t>
      </w:r>
      <w:proofErr w:type="spellStart"/>
      <w:r w:rsidRPr="00FC42CB">
        <w:rPr>
          <w:rFonts w:asciiTheme="minorHAnsi" w:eastAsia="Aptos" w:hAnsiTheme="minorHAnsi" w:cstheme="minorHAnsi"/>
          <w:kern w:val="2"/>
          <w:szCs w:val="24"/>
          <w14:ligatures w14:val="standardContextual"/>
        </w:rPr>
        <w:t>migrans</w:t>
      </w:r>
      <w:proofErr w:type="spellEnd"/>
      <w:r w:rsidRPr="00FC42CB">
        <w:rPr>
          <w:rFonts w:asciiTheme="minorHAnsi" w:eastAsia="Aptos" w:hAnsiTheme="minorHAnsi" w:cstheme="minorHAnsi"/>
          <w:kern w:val="2"/>
          <w:szCs w:val="24"/>
          <w14:ligatures w14:val="standardContextual"/>
        </w:rPr>
        <w:t xml:space="preserve"> rash indicative of infection. Consideration for the use of doxycycline post-exposure prophylaxis (PEP) has been included in the Infectious Diseases Society of America </w:t>
      </w:r>
      <w:r w:rsidRPr="00FC42CB">
        <w:rPr>
          <w:rFonts w:asciiTheme="minorHAnsi" w:eastAsia="Aptos" w:hAnsiTheme="minorHAnsi" w:cstheme="minorHAnsi"/>
          <w:kern w:val="2"/>
          <w:szCs w:val="24"/>
          <w14:ligatures w14:val="standardContextual"/>
        </w:rPr>
        <w:lastRenderedPageBreak/>
        <w:t>(IDSA) guidelines since 2006 and was included in the most recent 2020 guidelines written by IDSA, the American Academy of Neurology and the American College of Rheumatology (</w:t>
      </w:r>
      <w:hyperlink r:id="rId14" w:history="1">
        <w:r w:rsidRPr="00FC42CB">
          <w:rPr>
            <w:rFonts w:asciiTheme="minorHAnsi" w:eastAsia="Aptos" w:hAnsiTheme="minorHAnsi" w:cstheme="minorHAnsi"/>
            <w:color w:val="0000FF"/>
            <w:kern w:val="2"/>
            <w:szCs w:val="24"/>
            <w:u w:val="single"/>
            <w14:ligatures w14:val="standardContextual"/>
          </w:rPr>
          <w:t>https://www.idsociety.org/practice-guideline/lyme-disease/</w:t>
        </w:r>
        <w:r w:rsidRPr="00FC42CB">
          <w:rPr>
            <w:rFonts w:asciiTheme="minorHAnsi" w:eastAsia="Aptos" w:hAnsiTheme="minorHAnsi" w:cstheme="minorHAnsi"/>
            <w:color w:val="467886"/>
            <w:kern w:val="2"/>
            <w:szCs w:val="24"/>
            <w:u w:val="single"/>
            <w14:ligatures w14:val="standardContextual"/>
          </w:rPr>
          <w:t>)</w:t>
        </w:r>
      </w:hyperlink>
      <w:r w:rsidRPr="00FC42CB">
        <w:rPr>
          <w:rFonts w:asciiTheme="minorHAnsi" w:eastAsia="Aptos" w:hAnsiTheme="minorHAnsi" w:cstheme="minorHAnsi"/>
          <w:kern w:val="2"/>
          <w:szCs w:val="24"/>
          <w14:ligatures w14:val="standardContextual"/>
        </w:rPr>
        <w:t xml:space="preserve"> and endorsed by the American Academy of Family Physicians.</w:t>
      </w:r>
    </w:p>
    <w:p w14:paraId="093B02E3" w14:textId="77777777" w:rsidR="00FC42CB" w:rsidRPr="00FC42CB" w:rsidRDefault="00FC42CB" w:rsidP="00FC42CB">
      <w:p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The current recommendations for consideration of </w:t>
      </w:r>
      <w:proofErr w:type="gramStart"/>
      <w:r w:rsidRPr="00FC42CB">
        <w:rPr>
          <w:rFonts w:asciiTheme="minorHAnsi" w:eastAsia="Aptos" w:hAnsiTheme="minorHAnsi" w:cstheme="minorHAnsi"/>
          <w:kern w:val="2"/>
          <w:szCs w:val="24"/>
          <w14:ligatures w14:val="standardContextual"/>
        </w:rPr>
        <w:t>administration</w:t>
      </w:r>
      <w:proofErr w:type="gramEnd"/>
      <w:r w:rsidRPr="00FC42CB">
        <w:rPr>
          <w:rFonts w:asciiTheme="minorHAnsi" w:eastAsia="Aptos" w:hAnsiTheme="minorHAnsi" w:cstheme="minorHAnsi"/>
          <w:kern w:val="2"/>
          <w:szCs w:val="24"/>
          <w14:ligatures w14:val="standardContextual"/>
        </w:rPr>
        <w:t xml:space="preserve"> of PEP for a tick bite are:</w:t>
      </w:r>
    </w:p>
    <w:p w14:paraId="37EA66B4" w14:textId="77777777" w:rsidR="00FC42CB" w:rsidRPr="00FC42CB" w:rsidRDefault="00FC42CB" w:rsidP="00FC42CB">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The tick was identified as an </w:t>
      </w:r>
      <w:r w:rsidRPr="00FC42CB">
        <w:rPr>
          <w:rFonts w:asciiTheme="minorHAnsi" w:eastAsia="Aptos" w:hAnsiTheme="minorHAnsi" w:cstheme="minorHAnsi"/>
          <w:i/>
          <w:iCs/>
          <w:kern w:val="2"/>
          <w:szCs w:val="24"/>
          <w14:ligatures w14:val="standardContextual"/>
        </w:rPr>
        <w:t>Ixodes scapularis</w:t>
      </w:r>
      <w:r w:rsidRPr="00FC42CB">
        <w:rPr>
          <w:rFonts w:asciiTheme="minorHAnsi" w:eastAsia="Aptos" w:hAnsiTheme="minorHAnsi" w:cstheme="minorHAnsi"/>
          <w:kern w:val="2"/>
          <w:szCs w:val="24"/>
          <w14:ligatures w14:val="standardContextual"/>
        </w:rPr>
        <w:t xml:space="preserve"> or another</w:t>
      </w:r>
      <w:r w:rsidRPr="00FC42CB">
        <w:rPr>
          <w:rFonts w:asciiTheme="minorHAnsi" w:eastAsia="Aptos" w:hAnsiTheme="minorHAnsi" w:cstheme="minorHAnsi"/>
          <w:i/>
          <w:iCs/>
          <w:kern w:val="2"/>
          <w:szCs w:val="24"/>
          <w14:ligatures w14:val="standardContextual"/>
        </w:rPr>
        <w:t xml:space="preserve"> Ixodes</w:t>
      </w:r>
      <w:r w:rsidRPr="00FC42CB">
        <w:rPr>
          <w:rFonts w:asciiTheme="minorHAnsi" w:eastAsia="Aptos" w:hAnsiTheme="minorHAnsi" w:cstheme="minorHAnsi"/>
          <w:kern w:val="2"/>
          <w:szCs w:val="24"/>
          <w14:ligatures w14:val="standardContextual"/>
        </w:rPr>
        <w:t xml:space="preserve"> spp. vector in other parts of the country; AND</w:t>
      </w:r>
    </w:p>
    <w:p w14:paraId="3672CF9F" w14:textId="77777777" w:rsidR="00FC42CB" w:rsidRPr="00FC42CB" w:rsidRDefault="00FC42CB" w:rsidP="00FC42CB">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The tick was acquired in an area of high endemicity for </w:t>
      </w:r>
      <w:r w:rsidRPr="00FC42CB">
        <w:rPr>
          <w:rFonts w:asciiTheme="minorHAnsi" w:eastAsia="Aptos" w:hAnsiTheme="minorHAnsi" w:cstheme="minorHAnsi"/>
          <w:i/>
          <w:iCs/>
          <w:kern w:val="2"/>
          <w:szCs w:val="24"/>
          <w14:ligatures w14:val="standardContextual"/>
        </w:rPr>
        <w:t xml:space="preserve">Borrelia burgdorferi </w:t>
      </w:r>
      <w:r w:rsidRPr="00FC42CB">
        <w:rPr>
          <w:rFonts w:asciiTheme="minorHAnsi" w:eastAsia="Aptos" w:hAnsiTheme="minorHAnsi" w:cstheme="minorHAnsi"/>
          <w:kern w:val="2"/>
          <w:szCs w:val="24"/>
          <w14:ligatures w14:val="standardContextual"/>
        </w:rPr>
        <w:t>(this includes all of Massachusetts); AND</w:t>
      </w:r>
    </w:p>
    <w:p w14:paraId="6D93E47F" w14:textId="3DC67722" w:rsidR="00FC42CB" w:rsidRPr="00FC42CB" w:rsidRDefault="00FC42CB" w:rsidP="00FC42CB">
      <w:pPr>
        <w:numPr>
          <w:ilvl w:val="0"/>
          <w:numId w:val="2"/>
        </w:numPr>
        <w:spacing w:after="160" w:line="278" w:lineRule="auto"/>
        <w:contextualSpacing/>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The tick was attached for 36 hours or more</w:t>
      </w:r>
      <w:r w:rsidR="00CC6813">
        <w:rPr>
          <w:rFonts w:asciiTheme="minorHAnsi" w:eastAsia="Aptos" w:hAnsiTheme="minorHAnsi" w:cstheme="minorHAnsi"/>
          <w:kern w:val="2"/>
          <w:szCs w:val="24"/>
          <w14:ligatures w14:val="standardContextual"/>
        </w:rPr>
        <w:t xml:space="preserve"> (pictures of tick engorgement </w:t>
      </w:r>
      <w:r w:rsidR="005A7F49">
        <w:rPr>
          <w:rFonts w:asciiTheme="minorHAnsi" w:eastAsia="Aptos" w:hAnsiTheme="minorHAnsi" w:cstheme="minorHAnsi"/>
          <w:kern w:val="2"/>
          <w:szCs w:val="24"/>
          <w14:ligatures w14:val="standardContextual"/>
        </w:rPr>
        <w:t>for estimation of attachment time available here</w:t>
      </w:r>
      <w:r w:rsidR="008265F4">
        <w:rPr>
          <w:rFonts w:asciiTheme="minorHAnsi" w:eastAsia="Aptos" w:hAnsiTheme="minorHAnsi" w:cstheme="minorHAnsi"/>
          <w:kern w:val="2"/>
          <w:szCs w:val="24"/>
          <w14:ligatures w14:val="standardContextual"/>
        </w:rPr>
        <w:t xml:space="preserve"> </w:t>
      </w:r>
      <w:hyperlink r:id="rId15" w:history="1">
        <w:r w:rsidR="008265F4" w:rsidRPr="005061F6">
          <w:rPr>
            <w:rStyle w:val="Hyperlink"/>
            <w:rFonts w:asciiTheme="minorHAnsi" w:eastAsia="Aptos" w:hAnsiTheme="minorHAnsi" w:cstheme="minorHAnsi"/>
            <w:kern w:val="2"/>
            <w:szCs w:val="24"/>
            <w14:ligatures w14:val="standardContextual"/>
          </w:rPr>
          <w:t>https://web.uri.edu/tickencounter/species/blacklegged-tick/</w:t>
        </w:r>
      </w:hyperlink>
      <w:r w:rsidR="005A7F49">
        <w:rPr>
          <w:rFonts w:asciiTheme="minorHAnsi" w:eastAsia="Aptos" w:hAnsiTheme="minorHAnsi" w:cstheme="minorHAnsi"/>
          <w:kern w:val="2"/>
          <w:szCs w:val="24"/>
          <w14:ligatures w14:val="standardContextual"/>
        </w:rPr>
        <w:t>)</w:t>
      </w:r>
      <w:r w:rsidRPr="00FC42CB">
        <w:rPr>
          <w:rFonts w:asciiTheme="minorHAnsi" w:eastAsia="Aptos" w:hAnsiTheme="minorHAnsi" w:cstheme="minorHAnsi"/>
          <w:kern w:val="2"/>
          <w:szCs w:val="24"/>
          <w14:ligatures w14:val="standardContextual"/>
        </w:rPr>
        <w:t>; AND</w:t>
      </w:r>
      <w:r w:rsidR="005A7F49">
        <w:rPr>
          <w:rFonts w:asciiTheme="minorHAnsi" w:eastAsia="Aptos" w:hAnsiTheme="minorHAnsi" w:cstheme="minorHAnsi"/>
          <w:kern w:val="2"/>
          <w:szCs w:val="24"/>
          <w14:ligatures w14:val="standardContextual"/>
        </w:rPr>
        <w:t xml:space="preserve"> </w:t>
      </w:r>
    </w:p>
    <w:p w14:paraId="5DB1BEE4" w14:textId="77777777" w:rsidR="00FC42CB" w:rsidRPr="00FC42CB" w:rsidRDefault="00FC42CB" w:rsidP="00FC42CB">
      <w:pPr>
        <w:numPr>
          <w:ilvl w:val="0"/>
          <w:numId w:val="2"/>
        </w:num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The antibiotics can be taken within 72 hours after tick removal.</w:t>
      </w:r>
    </w:p>
    <w:p w14:paraId="06F51A42" w14:textId="77777777" w:rsidR="00FC42CB" w:rsidRPr="00FC42CB" w:rsidRDefault="00FC42CB" w:rsidP="00FC42CB">
      <w:pPr>
        <w:spacing w:after="16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This recommendation applies to pediatric and adult patients and should be balanced against the safety of the antibiotic in the patient; an allergy to doxycycline, pregnancy, lactation and likelihood of photosensitivity are potential concerns (</w:t>
      </w:r>
      <w:hyperlink r:id="rId16" w:history="1">
        <w:r w:rsidRPr="00FC42CB">
          <w:rPr>
            <w:rFonts w:asciiTheme="minorHAnsi" w:eastAsia="Aptos" w:hAnsiTheme="minorHAnsi" w:cstheme="minorHAnsi"/>
            <w:color w:val="0000FF"/>
            <w:kern w:val="2"/>
            <w:szCs w:val="24"/>
            <w:u w:val="single"/>
            <w14:ligatures w14:val="standardContextual"/>
          </w:rPr>
          <w:t>https://www.cdc.gov/lyme/media/pdfs/Lyme-Disease-Prophylaxis-After-Tick-Bite-Poster.pdf</w:t>
        </w:r>
      </w:hyperlink>
      <w:r w:rsidRPr="00FC42CB">
        <w:rPr>
          <w:rFonts w:asciiTheme="minorHAnsi" w:eastAsia="Aptos" w:hAnsiTheme="minorHAnsi" w:cstheme="minorHAnsi"/>
          <w:kern w:val="2"/>
          <w:szCs w:val="24"/>
          <w14:ligatures w14:val="standardContextual"/>
        </w:rPr>
        <w:t>). Please note that the minimum incubation period for Lyme disease is 3 days and in the absence of symptoms, a longer course of treatment is not indicated.</w:t>
      </w:r>
    </w:p>
    <w:p w14:paraId="03FCF8E6" w14:textId="77777777" w:rsidR="00FC42CB" w:rsidRDefault="00FC42CB" w:rsidP="00FC42CB">
      <w:pPr>
        <w:spacing w:after="120"/>
        <w:rPr>
          <w:rFonts w:asciiTheme="minorHAnsi" w:eastAsia="Aptos" w:hAnsiTheme="minorHAnsi" w:cstheme="minorHAnsi"/>
          <w:kern w:val="2"/>
          <w:szCs w:val="24"/>
          <w14:ligatures w14:val="standardContextual"/>
        </w:rPr>
      </w:pPr>
      <w:r w:rsidRPr="00FC42CB">
        <w:rPr>
          <w:rFonts w:asciiTheme="minorHAnsi" w:eastAsia="Aptos" w:hAnsiTheme="minorHAnsi" w:cstheme="minorHAnsi"/>
          <w:kern w:val="2"/>
          <w:szCs w:val="24"/>
          <w14:ligatures w14:val="standardContextual"/>
        </w:rPr>
        <w:t xml:space="preserve">Whether or not antibiotic prophylaxis is prescribed, patients should be counseled about the signs and symptoms of Lyme disease, anaplasmosis, babesiosis, relapsing fever (borreliosis) and Powassan virus disease. Prophylaxis is not 100% effective against Lyme disease, is not likely to prevent infection with </w:t>
      </w:r>
      <w:r w:rsidRPr="00FC42CB">
        <w:rPr>
          <w:rFonts w:asciiTheme="minorHAnsi" w:eastAsia="Aptos" w:hAnsiTheme="minorHAnsi" w:cstheme="minorHAnsi"/>
          <w:i/>
          <w:iCs/>
          <w:kern w:val="2"/>
          <w:szCs w:val="24"/>
          <w14:ligatures w14:val="standardContextual"/>
        </w:rPr>
        <w:t>Babesia microti</w:t>
      </w:r>
      <w:r w:rsidRPr="00FC42CB">
        <w:rPr>
          <w:rFonts w:asciiTheme="minorHAnsi" w:eastAsia="Aptos" w:hAnsiTheme="minorHAnsi" w:cstheme="minorHAnsi"/>
          <w:kern w:val="2"/>
          <w:szCs w:val="24"/>
          <w14:ligatures w14:val="standardContextual"/>
        </w:rPr>
        <w:t xml:space="preserve"> or Powassan virus and data are lacking on its efficacy at preventing infection with </w:t>
      </w:r>
      <w:proofErr w:type="spellStart"/>
      <w:r w:rsidRPr="00FC42CB">
        <w:rPr>
          <w:rFonts w:asciiTheme="minorHAnsi" w:eastAsia="Aptos" w:hAnsiTheme="minorHAnsi" w:cstheme="minorHAnsi"/>
          <w:i/>
          <w:iCs/>
          <w:kern w:val="2"/>
          <w:szCs w:val="24"/>
          <w14:ligatures w14:val="standardContextual"/>
        </w:rPr>
        <w:t>Anaplasma</w:t>
      </w:r>
      <w:proofErr w:type="spellEnd"/>
      <w:r w:rsidRPr="00FC42CB">
        <w:rPr>
          <w:rFonts w:asciiTheme="minorHAnsi" w:eastAsia="Aptos" w:hAnsiTheme="minorHAnsi" w:cstheme="minorHAnsi"/>
          <w:i/>
          <w:iCs/>
          <w:kern w:val="2"/>
          <w:szCs w:val="24"/>
          <w14:ligatures w14:val="standardContextual"/>
        </w:rPr>
        <w:t xml:space="preserve"> </w:t>
      </w:r>
      <w:proofErr w:type="spellStart"/>
      <w:r w:rsidRPr="00FC42CB">
        <w:rPr>
          <w:rFonts w:asciiTheme="minorHAnsi" w:eastAsia="Aptos" w:hAnsiTheme="minorHAnsi" w:cstheme="minorHAnsi"/>
          <w:i/>
          <w:iCs/>
          <w:kern w:val="2"/>
          <w:szCs w:val="24"/>
          <w14:ligatures w14:val="standardContextual"/>
        </w:rPr>
        <w:t>phagocytophilum</w:t>
      </w:r>
      <w:proofErr w:type="spellEnd"/>
      <w:r w:rsidRPr="00FC42CB">
        <w:rPr>
          <w:rFonts w:asciiTheme="minorHAnsi" w:eastAsia="Aptos" w:hAnsiTheme="minorHAnsi" w:cstheme="minorHAnsi"/>
          <w:i/>
          <w:iCs/>
          <w:kern w:val="2"/>
          <w:szCs w:val="24"/>
          <w14:ligatures w14:val="standardContextual"/>
        </w:rPr>
        <w:t xml:space="preserve"> </w:t>
      </w:r>
      <w:r w:rsidRPr="00FC42CB">
        <w:rPr>
          <w:rFonts w:asciiTheme="minorHAnsi" w:eastAsia="Aptos" w:hAnsiTheme="minorHAnsi" w:cstheme="minorHAnsi"/>
          <w:kern w:val="2"/>
          <w:szCs w:val="24"/>
          <w14:ligatures w14:val="standardContextual"/>
        </w:rPr>
        <w:t xml:space="preserve">(the cause of anaplasmosis) or </w:t>
      </w:r>
      <w:r w:rsidRPr="00FC42CB">
        <w:rPr>
          <w:rFonts w:asciiTheme="minorHAnsi" w:eastAsia="Aptos" w:hAnsiTheme="minorHAnsi" w:cstheme="minorHAnsi"/>
          <w:i/>
          <w:iCs/>
          <w:kern w:val="2"/>
          <w:szCs w:val="24"/>
          <w14:ligatures w14:val="standardContextual"/>
        </w:rPr>
        <w:t>Borrelia miyamotoi</w:t>
      </w:r>
      <w:r w:rsidRPr="00FC42CB">
        <w:rPr>
          <w:rFonts w:asciiTheme="minorHAnsi" w:eastAsia="Aptos" w:hAnsiTheme="minorHAnsi" w:cstheme="minorHAnsi"/>
          <w:kern w:val="2"/>
          <w:szCs w:val="24"/>
          <w14:ligatures w14:val="standardContextual"/>
        </w:rPr>
        <w:t>.</w:t>
      </w:r>
    </w:p>
    <w:p w14:paraId="46A3D500" w14:textId="0AA823E9" w:rsidR="009022C4" w:rsidRPr="00FC42CB" w:rsidRDefault="00EE3D6B" w:rsidP="00FC42CB">
      <w:pPr>
        <w:spacing w:after="120"/>
        <w:rPr>
          <w:rFonts w:asciiTheme="minorHAnsi" w:eastAsia="Aptos" w:hAnsiTheme="minorHAnsi" w:cstheme="minorHAnsi"/>
          <w:kern w:val="2"/>
          <w:szCs w:val="24"/>
          <w14:ligatures w14:val="standardContextual"/>
        </w:rPr>
      </w:pPr>
      <w:r>
        <w:rPr>
          <w:rFonts w:asciiTheme="minorHAnsi" w:eastAsia="Aptos" w:hAnsiTheme="minorHAnsi" w:cstheme="minorHAnsi"/>
          <w:kern w:val="2"/>
          <w:szCs w:val="24"/>
          <w14:ligatures w14:val="standardContextual"/>
        </w:rPr>
        <w:t>For questions about the epidemiology of tick-borne disease in Massachusetts</w:t>
      </w:r>
      <w:r w:rsidR="000C6314">
        <w:rPr>
          <w:rFonts w:asciiTheme="minorHAnsi" w:eastAsia="Aptos" w:hAnsiTheme="minorHAnsi" w:cstheme="minorHAnsi"/>
          <w:kern w:val="2"/>
          <w:szCs w:val="24"/>
          <w14:ligatures w14:val="standardContextual"/>
        </w:rPr>
        <w:t>, please contact the Massachusetts Department of Public Health Division of Epidemiology available 24/7 at (617) 983-6800.</w:t>
      </w:r>
    </w:p>
    <w:p w14:paraId="1AE53565" w14:textId="77777777" w:rsidR="00FC42CB" w:rsidRPr="00FC42CB" w:rsidRDefault="00FC42CB" w:rsidP="00FC42CB">
      <w:pPr>
        <w:rPr>
          <w:rFonts w:asciiTheme="minorHAnsi" w:hAnsiTheme="minorHAnsi" w:cstheme="minorHAnsi"/>
        </w:rPr>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C92A" w14:textId="77777777" w:rsidR="00221799" w:rsidRDefault="00221799" w:rsidP="00FC42CB">
      <w:r>
        <w:separator/>
      </w:r>
    </w:p>
  </w:endnote>
  <w:endnote w:type="continuationSeparator" w:id="0">
    <w:p w14:paraId="75FC8F5C" w14:textId="77777777" w:rsidR="00221799" w:rsidRDefault="00221799" w:rsidP="00F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8604" w14:textId="77777777" w:rsidR="00221799" w:rsidRDefault="00221799" w:rsidP="00FC42CB">
      <w:r>
        <w:separator/>
      </w:r>
    </w:p>
  </w:footnote>
  <w:footnote w:type="continuationSeparator" w:id="0">
    <w:p w14:paraId="1E07EB9F" w14:textId="77777777" w:rsidR="00221799" w:rsidRDefault="00221799" w:rsidP="00FC42CB">
      <w:r>
        <w:continuationSeparator/>
      </w:r>
    </w:p>
  </w:footnote>
  <w:footnote w:id="1">
    <w:p w14:paraId="663E331D" w14:textId="77777777" w:rsidR="00FC42CB" w:rsidRDefault="00FC42CB" w:rsidP="00FC42CB">
      <w:pPr>
        <w:pStyle w:val="FootnoteText"/>
      </w:pPr>
      <w:r>
        <w:rPr>
          <w:rStyle w:val="FootnoteReference"/>
        </w:rPr>
        <w:footnoteRef/>
      </w:r>
      <w:r>
        <w:t xml:space="preserve"> Nadelman, RB et al</w:t>
      </w:r>
      <w:r w:rsidRPr="00815979">
        <w:t>. Prophylaxis with single-dose doxycycline for the prevention of Lyme disease after an Ixodes scapularis tick bite. N Engl J Med. 2001 Jul 12;345(2):79-84.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D3FC5"/>
    <w:multiLevelType w:val="hybridMultilevel"/>
    <w:tmpl w:val="75F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EAE93"/>
    <w:multiLevelType w:val="hybridMultilevel"/>
    <w:tmpl w:val="1B8C219C"/>
    <w:lvl w:ilvl="0" w:tplc="D43CAEDE">
      <w:start w:val="1"/>
      <w:numFmt w:val="bullet"/>
      <w:lvlText w:val=""/>
      <w:lvlJc w:val="left"/>
      <w:pPr>
        <w:ind w:left="720" w:hanging="360"/>
      </w:pPr>
      <w:rPr>
        <w:rFonts w:ascii="Symbol" w:hAnsi="Symbol" w:hint="default"/>
      </w:rPr>
    </w:lvl>
    <w:lvl w:ilvl="1" w:tplc="2D5A26E4">
      <w:start w:val="1"/>
      <w:numFmt w:val="bullet"/>
      <w:lvlText w:val="o"/>
      <w:lvlJc w:val="left"/>
      <w:pPr>
        <w:ind w:left="1440" w:hanging="360"/>
      </w:pPr>
      <w:rPr>
        <w:rFonts w:ascii="Courier New" w:hAnsi="Courier New" w:hint="default"/>
      </w:rPr>
    </w:lvl>
    <w:lvl w:ilvl="2" w:tplc="66DA5718">
      <w:start w:val="1"/>
      <w:numFmt w:val="bullet"/>
      <w:lvlText w:val=""/>
      <w:lvlJc w:val="left"/>
      <w:pPr>
        <w:ind w:left="2160" w:hanging="360"/>
      </w:pPr>
      <w:rPr>
        <w:rFonts w:ascii="Wingdings" w:hAnsi="Wingdings" w:hint="default"/>
      </w:rPr>
    </w:lvl>
    <w:lvl w:ilvl="3" w:tplc="B4E06CBC">
      <w:start w:val="1"/>
      <w:numFmt w:val="bullet"/>
      <w:lvlText w:val=""/>
      <w:lvlJc w:val="left"/>
      <w:pPr>
        <w:ind w:left="2880" w:hanging="360"/>
      </w:pPr>
      <w:rPr>
        <w:rFonts w:ascii="Symbol" w:hAnsi="Symbol" w:hint="default"/>
      </w:rPr>
    </w:lvl>
    <w:lvl w:ilvl="4" w:tplc="CEF078D0">
      <w:start w:val="1"/>
      <w:numFmt w:val="bullet"/>
      <w:lvlText w:val="o"/>
      <w:lvlJc w:val="left"/>
      <w:pPr>
        <w:ind w:left="3600" w:hanging="360"/>
      </w:pPr>
      <w:rPr>
        <w:rFonts w:ascii="Courier New" w:hAnsi="Courier New" w:hint="default"/>
      </w:rPr>
    </w:lvl>
    <w:lvl w:ilvl="5" w:tplc="586A76EE">
      <w:start w:val="1"/>
      <w:numFmt w:val="bullet"/>
      <w:lvlText w:val=""/>
      <w:lvlJc w:val="left"/>
      <w:pPr>
        <w:ind w:left="4320" w:hanging="360"/>
      </w:pPr>
      <w:rPr>
        <w:rFonts w:ascii="Wingdings" w:hAnsi="Wingdings" w:hint="default"/>
      </w:rPr>
    </w:lvl>
    <w:lvl w:ilvl="6" w:tplc="1042F6B0">
      <w:start w:val="1"/>
      <w:numFmt w:val="bullet"/>
      <w:lvlText w:val=""/>
      <w:lvlJc w:val="left"/>
      <w:pPr>
        <w:ind w:left="5040" w:hanging="360"/>
      </w:pPr>
      <w:rPr>
        <w:rFonts w:ascii="Symbol" w:hAnsi="Symbol" w:hint="default"/>
      </w:rPr>
    </w:lvl>
    <w:lvl w:ilvl="7" w:tplc="3E8A9E6E">
      <w:start w:val="1"/>
      <w:numFmt w:val="bullet"/>
      <w:lvlText w:val="o"/>
      <w:lvlJc w:val="left"/>
      <w:pPr>
        <w:ind w:left="5760" w:hanging="360"/>
      </w:pPr>
      <w:rPr>
        <w:rFonts w:ascii="Courier New" w:hAnsi="Courier New" w:hint="default"/>
      </w:rPr>
    </w:lvl>
    <w:lvl w:ilvl="8" w:tplc="890E499A">
      <w:start w:val="1"/>
      <w:numFmt w:val="bullet"/>
      <w:lvlText w:val=""/>
      <w:lvlJc w:val="left"/>
      <w:pPr>
        <w:ind w:left="6480" w:hanging="360"/>
      </w:pPr>
      <w:rPr>
        <w:rFonts w:ascii="Wingdings" w:hAnsi="Wingdings" w:hint="default"/>
      </w:rPr>
    </w:lvl>
  </w:abstractNum>
  <w:num w:numId="1" w16cid:durableId="952781481">
    <w:abstractNumId w:val="1"/>
  </w:num>
  <w:num w:numId="2" w16cid:durableId="19118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C2E20"/>
    <w:rsid w:val="000C6314"/>
    <w:rsid w:val="000F315B"/>
    <w:rsid w:val="001125C0"/>
    <w:rsid w:val="0015268B"/>
    <w:rsid w:val="0015709E"/>
    <w:rsid w:val="0017749A"/>
    <w:rsid w:val="00177C77"/>
    <w:rsid w:val="001A7E66"/>
    <w:rsid w:val="001B6693"/>
    <w:rsid w:val="001C11ED"/>
    <w:rsid w:val="001D5F9D"/>
    <w:rsid w:val="0021698C"/>
    <w:rsid w:val="00221799"/>
    <w:rsid w:val="00237280"/>
    <w:rsid w:val="00260D54"/>
    <w:rsid w:val="00276957"/>
    <w:rsid w:val="00276DCC"/>
    <w:rsid w:val="002A132F"/>
    <w:rsid w:val="002B5A45"/>
    <w:rsid w:val="002D1C21"/>
    <w:rsid w:val="002F3439"/>
    <w:rsid w:val="00301022"/>
    <w:rsid w:val="00357A68"/>
    <w:rsid w:val="00375EAD"/>
    <w:rsid w:val="00385812"/>
    <w:rsid w:val="00392D0B"/>
    <w:rsid w:val="003A7AFC"/>
    <w:rsid w:val="003C60EF"/>
    <w:rsid w:val="004813AC"/>
    <w:rsid w:val="004A79A3"/>
    <w:rsid w:val="004B37A0"/>
    <w:rsid w:val="004B5CFB"/>
    <w:rsid w:val="004D6B39"/>
    <w:rsid w:val="004E0C3F"/>
    <w:rsid w:val="00511DB0"/>
    <w:rsid w:val="00512956"/>
    <w:rsid w:val="00530145"/>
    <w:rsid w:val="005448AA"/>
    <w:rsid w:val="00572A6E"/>
    <w:rsid w:val="005A7F49"/>
    <w:rsid w:val="006D06D9"/>
    <w:rsid w:val="006D77A6"/>
    <w:rsid w:val="00702109"/>
    <w:rsid w:val="007210FB"/>
    <w:rsid w:val="0072610D"/>
    <w:rsid w:val="007359C3"/>
    <w:rsid w:val="00757006"/>
    <w:rsid w:val="00771FEB"/>
    <w:rsid w:val="007B3F4B"/>
    <w:rsid w:val="007B7347"/>
    <w:rsid w:val="007C0512"/>
    <w:rsid w:val="007D10F3"/>
    <w:rsid w:val="007D1D51"/>
    <w:rsid w:val="007E06B4"/>
    <w:rsid w:val="007F3A5B"/>
    <w:rsid w:val="007F3CDB"/>
    <w:rsid w:val="00802852"/>
    <w:rsid w:val="008265F4"/>
    <w:rsid w:val="00850407"/>
    <w:rsid w:val="0088305B"/>
    <w:rsid w:val="009022C4"/>
    <w:rsid w:val="00951305"/>
    <w:rsid w:val="009730E5"/>
    <w:rsid w:val="009908FF"/>
    <w:rsid w:val="00995505"/>
    <w:rsid w:val="009C4428"/>
    <w:rsid w:val="009D48CD"/>
    <w:rsid w:val="00A5547C"/>
    <w:rsid w:val="00A65101"/>
    <w:rsid w:val="00B403BF"/>
    <w:rsid w:val="00B608D9"/>
    <w:rsid w:val="00BA15C5"/>
    <w:rsid w:val="00BA4055"/>
    <w:rsid w:val="00BA7FB6"/>
    <w:rsid w:val="00BB3EA9"/>
    <w:rsid w:val="00BD7442"/>
    <w:rsid w:val="00C20BFE"/>
    <w:rsid w:val="00C46D29"/>
    <w:rsid w:val="00CC1778"/>
    <w:rsid w:val="00CC290B"/>
    <w:rsid w:val="00CC6813"/>
    <w:rsid w:val="00CD2041"/>
    <w:rsid w:val="00CE575B"/>
    <w:rsid w:val="00CF3DE8"/>
    <w:rsid w:val="00D0493F"/>
    <w:rsid w:val="00D10DDE"/>
    <w:rsid w:val="00D17C27"/>
    <w:rsid w:val="00D544FA"/>
    <w:rsid w:val="00D56F91"/>
    <w:rsid w:val="00D76119"/>
    <w:rsid w:val="00D8671C"/>
    <w:rsid w:val="00D91390"/>
    <w:rsid w:val="00DA57C3"/>
    <w:rsid w:val="00DC3855"/>
    <w:rsid w:val="00E242A8"/>
    <w:rsid w:val="00E274B8"/>
    <w:rsid w:val="00E72707"/>
    <w:rsid w:val="00E814A1"/>
    <w:rsid w:val="00EE3D6B"/>
    <w:rsid w:val="00EF0780"/>
    <w:rsid w:val="00F0586E"/>
    <w:rsid w:val="00F43932"/>
    <w:rsid w:val="00F60F7B"/>
    <w:rsid w:val="00FA575E"/>
    <w:rsid w:val="00FC42CB"/>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paragraph" w:styleId="FootnoteText">
    <w:name w:val="footnote text"/>
    <w:basedOn w:val="Normal"/>
    <w:link w:val="FootnoteTextChar"/>
    <w:rsid w:val="00FC42CB"/>
    <w:rPr>
      <w:sz w:val="20"/>
    </w:rPr>
  </w:style>
  <w:style w:type="character" w:customStyle="1" w:styleId="FootnoteTextChar">
    <w:name w:val="Footnote Text Char"/>
    <w:basedOn w:val="DefaultParagraphFont"/>
    <w:link w:val="FootnoteText"/>
    <w:rsid w:val="00FC42CB"/>
  </w:style>
  <w:style w:type="character" w:styleId="FootnoteReference">
    <w:name w:val="footnote reference"/>
    <w:basedOn w:val="DefaultParagraphFont"/>
    <w:uiPriority w:val="99"/>
    <w:unhideWhenUsed/>
    <w:rsid w:val="00FC42CB"/>
    <w:rPr>
      <w:vertAlign w:val="superscript"/>
    </w:rPr>
  </w:style>
  <w:style w:type="character" w:styleId="FollowedHyperlink">
    <w:name w:val="FollowedHyperlink"/>
    <w:basedOn w:val="DefaultParagraphFont"/>
    <w:rsid w:val="005A7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tick-exposure-and-tickborne-disease-syndromic-surveillance-report-june-2025-0/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state-public-health-laboratory-scien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lyme/media/pdfs/Lyme-Disease-Prophylaxis-After-Tick-Bite-Poste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state-public-health-laboratory-sciences" TargetMode="External"/><Relationship Id="rId5" Type="http://schemas.openxmlformats.org/officeDocument/2006/relationships/styles" Target="styles.xml"/><Relationship Id="rId15" Type="http://schemas.openxmlformats.org/officeDocument/2006/relationships/hyperlink" Target="https://web.uri.edu/tickencounter/species/blacklegged-tic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dsociety.org/practice-guideline/lyme-disease/)%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14</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Brown, Catherine (DPH)</cp:lastModifiedBy>
  <cp:revision>3</cp:revision>
  <cp:lastPrinted>2015-01-29T14:50:00Z</cp:lastPrinted>
  <dcterms:created xsi:type="dcterms:W3CDTF">2025-07-14T15:00:00Z</dcterms:created>
  <dcterms:modified xsi:type="dcterms:W3CDTF">2025-07-14T15:23:00Z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